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B" w:rsidRPr="001D2D18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left="-142"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bookmarkStart w:id="0" w:name="_GoBack"/>
      <w:bookmarkEnd w:id="0"/>
      <w:r w:rsidRPr="001D2D18">
        <w:rPr>
          <w:rFonts w:ascii="Arial" w:eastAsia="Times New Roman" w:hAnsi="Arial" w:cs="Arial"/>
          <w:b/>
          <w:sz w:val="24"/>
          <w:szCs w:val="20"/>
          <w:lang w:eastAsia="tr-TR"/>
        </w:rPr>
        <w:t>T.C.</w:t>
      </w:r>
    </w:p>
    <w:p w:rsidR="002911FB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left="-142"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r w:rsidRPr="001D2D18">
        <w:rPr>
          <w:rFonts w:ascii="Arial" w:eastAsia="Times New Roman" w:hAnsi="Arial" w:cs="Arial"/>
          <w:b/>
          <w:sz w:val="24"/>
          <w:szCs w:val="20"/>
          <w:lang w:eastAsia="tr-TR"/>
        </w:rPr>
        <w:t>BURDUR MEHMET AKİF ERSOY ÜNİVERSİTESİ</w:t>
      </w:r>
    </w:p>
    <w:p w:rsidR="002911FB" w:rsidRPr="001D2D18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left="-142"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r w:rsidRPr="001D2D18">
        <w:rPr>
          <w:rFonts w:ascii="Arial" w:eastAsia="Times New Roman" w:hAnsi="Arial" w:cs="Arial"/>
          <w:b/>
          <w:sz w:val="24"/>
          <w:szCs w:val="20"/>
          <w:lang w:eastAsia="tr-TR"/>
        </w:rPr>
        <w:t>BUCAK ZELİHA TOLUNAY UYGULAMALI TEKNOLOJİ VE İŞLETMECİLİK YÜKSEKOKULU YÖNETİM KURULU KARARLARI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60"/>
        <w:gridCol w:w="3340"/>
      </w:tblGrid>
      <w:tr w:rsidR="002911FB" w:rsidRPr="001D2D18" w:rsidTr="00A42C5E">
        <w:trPr>
          <w:cantSplit/>
          <w:trHeight w:val="211"/>
        </w:trPr>
        <w:tc>
          <w:tcPr>
            <w:tcW w:w="33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B" w:rsidRPr="001D2D18" w:rsidRDefault="002911FB" w:rsidP="00A42C5E">
            <w:pPr>
              <w:keepNext/>
              <w:tabs>
                <w:tab w:val="left" w:pos="555"/>
                <w:tab w:val="center" w:pos="1454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 w:rsidRPr="001D2D18"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Toplantı Tarihi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B" w:rsidRPr="001D2D18" w:rsidRDefault="002911FB" w:rsidP="00A42C5E">
            <w:pPr>
              <w:keepNext/>
              <w:tabs>
                <w:tab w:val="center" w:pos="156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 w:rsidRPr="001D2D18"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Toplantı Sayısı</w:t>
            </w:r>
          </w:p>
        </w:tc>
        <w:tc>
          <w:tcPr>
            <w:tcW w:w="3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11FB" w:rsidRPr="001D2D18" w:rsidRDefault="002911FB" w:rsidP="00A42C5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 w:rsidRPr="001D2D18"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Karar Sayısı</w:t>
            </w:r>
          </w:p>
        </w:tc>
      </w:tr>
      <w:tr w:rsidR="002911FB" w:rsidRPr="001D2D18" w:rsidTr="00A42C5E">
        <w:trPr>
          <w:cantSplit/>
          <w:trHeight w:val="272"/>
        </w:trPr>
        <w:tc>
          <w:tcPr>
            <w:tcW w:w="33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911FB" w:rsidRPr="001D2D18" w:rsidRDefault="002911FB" w:rsidP="00A4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11.02.2022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911FB" w:rsidRPr="001F070B" w:rsidRDefault="002911FB" w:rsidP="00A42C5E">
            <w:pPr>
              <w:tabs>
                <w:tab w:val="left" w:pos="1485"/>
                <w:tab w:val="center" w:pos="15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F0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ab/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911FB" w:rsidRPr="001D2D18" w:rsidRDefault="002911FB" w:rsidP="00A4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1</w:t>
            </w:r>
          </w:p>
        </w:tc>
      </w:tr>
    </w:tbl>
    <w:p w:rsidR="002911FB" w:rsidRDefault="002911FB" w:rsidP="002911FB">
      <w:pPr>
        <w:tabs>
          <w:tab w:val="left" w:pos="567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911FB" w:rsidRDefault="002911FB" w:rsidP="002911FB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1-2021</w:t>
      </w:r>
      <w:r w:rsidRPr="00D231F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31F7">
        <w:rPr>
          <w:rFonts w:ascii="Times New Roman" w:hAnsi="Times New Roman" w:cs="Times New Roman"/>
          <w:b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b/>
          <w:sz w:val="24"/>
          <w:szCs w:val="24"/>
        </w:rPr>
        <w:t xml:space="preserve"> Bahar Yarıyılında</w:t>
      </w:r>
      <w:r w:rsidRPr="00D231F7">
        <w:rPr>
          <w:rFonts w:ascii="Times New Roman" w:hAnsi="Times New Roman" w:cs="Times New Roman"/>
          <w:b/>
          <w:sz w:val="24"/>
          <w:szCs w:val="24"/>
        </w:rPr>
        <w:t xml:space="preserve"> Yüksekokulumuza yapılan Kurumlararası ve Ek Madde 1 kapsamındaki Yatay Geçiş başvurularının ve başvuran öğrencilerin </w:t>
      </w:r>
      <w:r>
        <w:rPr>
          <w:rFonts w:ascii="Times New Roman" w:hAnsi="Times New Roman" w:cs="Times New Roman"/>
          <w:b/>
          <w:sz w:val="24"/>
          <w:szCs w:val="24"/>
        </w:rPr>
        <w:t>yatay geçiş başvuru</w:t>
      </w:r>
      <w:r w:rsidRPr="00D231F7">
        <w:rPr>
          <w:rFonts w:ascii="Times New Roman" w:hAnsi="Times New Roman" w:cs="Times New Roman"/>
          <w:b/>
          <w:sz w:val="24"/>
          <w:szCs w:val="24"/>
        </w:rPr>
        <w:t xml:space="preserve"> durumlarının değerlendirilmesi hk.</w:t>
      </w:r>
    </w:p>
    <w:p w:rsidR="002911FB" w:rsidRPr="006F350D" w:rsidRDefault="002911FB" w:rsidP="002911FB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2911FB" w:rsidRPr="00D231F7" w:rsidRDefault="002911FB" w:rsidP="002911F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2021-2022</w:t>
      </w:r>
      <w:r w:rsidRPr="00D231F7">
        <w:rPr>
          <w:rFonts w:ascii="Times New Roman" w:hAnsi="Times New Roman" w:cs="Times New Roman"/>
          <w:sz w:val="24"/>
          <w:szCs w:val="24"/>
        </w:rPr>
        <w:t xml:space="preserve"> Eğitim-Öğre</w:t>
      </w:r>
      <w:r>
        <w:rPr>
          <w:rFonts w:ascii="Times New Roman" w:hAnsi="Times New Roman" w:cs="Times New Roman"/>
          <w:sz w:val="24"/>
          <w:szCs w:val="24"/>
        </w:rPr>
        <w:t>tim Yılı Bahar Yarıyılında</w:t>
      </w:r>
      <w:r w:rsidRPr="00D231F7">
        <w:rPr>
          <w:rFonts w:ascii="Times New Roman" w:hAnsi="Times New Roman" w:cs="Times New Roman"/>
          <w:sz w:val="24"/>
          <w:szCs w:val="24"/>
        </w:rPr>
        <w:t xml:space="preserve"> Yüksekokulumuza Kurumlararası ve Ek Madde 1’e göre Yatay Geçiş başvurusunda bulunan öğrencilerin durumları Yüksekokulumuz Muafiyet ve Yatay Geçiş Komisyonu tarafından değerlendirilmiş olup; değerlendirme sonuçlarının ekte belirtildiği</w:t>
      </w:r>
      <w:r>
        <w:rPr>
          <w:rFonts w:ascii="Times New Roman" w:hAnsi="Times New Roman" w:cs="Times New Roman"/>
          <w:sz w:val="24"/>
          <w:szCs w:val="24"/>
        </w:rPr>
        <w:t xml:space="preserve"> şekilde uygunluğuna,</w:t>
      </w:r>
    </w:p>
    <w:p w:rsidR="002911FB" w:rsidRDefault="002911FB" w:rsidP="00291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11FB" w:rsidRDefault="002911FB" w:rsidP="002911FB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D231F7">
        <w:rPr>
          <w:rFonts w:ascii="Times New Roman" w:hAnsi="Times New Roman" w:cs="Times New Roman"/>
          <w:sz w:val="24"/>
        </w:rPr>
        <w:t>Üniversitemiz Ön Lisans ve Lisans Muafiyet ve İntibak Yönergesinin Madde 6’nın 1.fıkrası gereğince;</w:t>
      </w:r>
    </w:p>
    <w:p w:rsidR="002911FB" w:rsidRPr="00D231F7" w:rsidRDefault="002911FB" w:rsidP="002911FB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2911FB" w:rsidRPr="00D231F7" w:rsidRDefault="002911FB" w:rsidP="002911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231F7">
        <w:rPr>
          <w:rFonts w:ascii="Times New Roman" w:hAnsi="Times New Roman" w:cs="Times New Roman"/>
          <w:sz w:val="24"/>
        </w:rPr>
        <w:t xml:space="preserve">1) Genel not ortalaması veya Merkezi Yerleştirme Puanı ile (Ek Madde-1 uyarınca) aynı programa Kurumlar arası yatay geçiş yapan öğrenciler ile Kurum İçi Yatay Geçiş yapan öğrencilerin intibakları, yatay geçiş yaptıkları sınıfın ilgili yarıyılına/yılına; </w:t>
      </w:r>
    </w:p>
    <w:p w:rsidR="002911FB" w:rsidRPr="00D231F7" w:rsidRDefault="002911FB" w:rsidP="002911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231F7">
        <w:rPr>
          <w:rFonts w:ascii="Times New Roman" w:hAnsi="Times New Roman" w:cs="Times New Roman"/>
          <w:sz w:val="24"/>
        </w:rPr>
        <w:t xml:space="preserve">2) Merkezi Yerleştirme Puanı ile (Ek Madde-1 uyarınca) farklı programa gelen öğrenciler birinci sınıfın ilgili yarıyılına intibak ettirilir. Ancak öğrencinin muafiyet işlemleri sonrası muafiyetine göre ilgili yarıyıl/yıla intibakı yeniden düzenlenebilir. </w:t>
      </w:r>
    </w:p>
    <w:p w:rsidR="002911FB" w:rsidRPr="00D231F7" w:rsidRDefault="002911FB" w:rsidP="002911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231F7">
        <w:rPr>
          <w:rFonts w:ascii="Times New Roman" w:hAnsi="Times New Roman" w:cs="Times New Roman"/>
          <w:sz w:val="24"/>
        </w:rPr>
        <w:t xml:space="preserve">3) Dikey Geçiş Sınavı ile geçiş yapan öğrenciler, beşinci yarıyıla intibak ettirilir. </w:t>
      </w:r>
    </w:p>
    <w:p w:rsidR="002911FB" w:rsidRPr="00D231F7" w:rsidRDefault="002911FB" w:rsidP="002911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231F7">
        <w:rPr>
          <w:rFonts w:ascii="Times New Roman" w:hAnsi="Times New Roman" w:cs="Times New Roman"/>
          <w:sz w:val="24"/>
        </w:rPr>
        <w:t xml:space="preserve">4) Af kanunundan faydalanarak gelen öğrenci, kaldığı yarıyıldan itibaren eğitimine devam eder. </w:t>
      </w:r>
    </w:p>
    <w:p w:rsidR="002911FB" w:rsidRPr="00D231F7" w:rsidRDefault="002911FB" w:rsidP="002911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231F7">
        <w:rPr>
          <w:rFonts w:ascii="Times New Roman" w:hAnsi="Times New Roman" w:cs="Times New Roman"/>
          <w:sz w:val="24"/>
        </w:rPr>
        <w:t xml:space="preserve">5) Aynı programın birinci ve ikinci öğretim programları arasında yatay geçiş yapan öğrencilerin intibakları ise bulundukları sınıfa yapılır ve notları aynen transfer edilir. </w:t>
      </w:r>
    </w:p>
    <w:p w:rsidR="002911FB" w:rsidRPr="00D231F7" w:rsidRDefault="002911FB" w:rsidP="002911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231F7">
        <w:rPr>
          <w:rFonts w:ascii="Times New Roman" w:hAnsi="Times New Roman" w:cs="Times New Roman"/>
          <w:sz w:val="24"/>
        </w:rPr>
        <w:t>Madde 6’nın (ç) bendi gereğince “ Öğrenciler muafiyet işlemleri tamamlanıncaya kadar intibakları yapılan sınıflardaki derslere devam ederler. Muafiyet işlemleri tamamlandıktan sonra alttan ve üstten alınacak derslerde Üniversitemiz Ön lisans ve Lisans Eğitim-Öğretim Yönetmeliğinin derslere devam zorunluluğu konusundaki hükümleri ise kararların öğrenciye tebliğ edildiği tarihten itibaren uygulanır.”</w:t>
      </w:r>
    </w:p>
    <w:p w:rsidR="003F654D" w:rsidRDefault="002911FB" w:rsidP="002911FB">
      <w:pPr>
        <w:rPr>
          <w:rFonts w:ascii="Times New Roman" w:hAnsi="Times New Roman" w:cs="Times New Roman"/>
          <w:sz w:val="24"/>
        </w:rPr>
      </w:pPr>
      <w:r w:rsidRPr="00D231F7">
        <w:rPr>
          <w:rFonts w:ascii="Times New Roman" w:hAnsi="Times New Roman" w:cs="Times New Roman"/>
          <w:sz w:val="24"/>
        </w:rPr>
        <w:t>Yukarıda listelenen maddelere göre yatay geçiş başvuruları kabul edilen öğrencilerin sınıf intibaklarının yönerge kap</w:t>
      </w:r>
      <w:r>
        <w:rPr>
          <w:rFonts w:ascii="Times New Roman" w:hAnsi="Times New Roman" w:cs="Times New Roman"/>
          <w:sz w:val="24"/>
        </w:rPr>
        <w:t>samında yapılmasına karar verilmiştir.</w:t>
      </w:r>
    </w:p>
    <w:p w:rsidR="002911FB" w:rsidRDefault="002911FB" w:rsidP="002911FB">
      <w:pPr>
        <w:rPr>
          <w:rFonts w:ascii="Times New Roman" w:hAnsi="Times New Roman" w:cs="Times New Roman"/>
          <w:sz w:val="24"/>
        </w:rPr>
      </w:pPr>
    </w:p>
    <w:p w:rsidR="002911FB" w:rsidRDefault="002911FB" w:rsidP="002911FB">
      <w:pPr>
        <w:rPr>
          <w:rFonts w:ascii="Times New Roman" w:hAnsi="Times New Roman" w:cs="Times New Roman"/>
          <w:sz w:val="24"/>
        </w:rPr>
      </w:pPr>
    </w:p>
    <w:p w:rsidR="002911FB" w:rsidRDefault="002911FB" w:rsidP="002911FB">
      <w:pPr>
        <w:rPr>
          <w:rFonts w:ascii="Times New Roman" w:hAnsi="Times New Roman" w:cs="Times New Roman"/>
          <w:sz w:val="24"/>
        </w:rPr>
      </w:pPr>
    </w:p>
    <w:p w:rsidR="002911FB" w:rsidRDefault="002911FB" w:rsidP="002911FB">
      <w:pPr>
        <w:rPr>
          <w:rFonts w:ascii="Times New Roman" w:hAnsi="Times New Roman" w:cs="Times New Roman"/>
          <w:sz w:val="24"/>
        </w:rPr>
      </w:pPr>
    </w:p>
    <w:p w:rsidR="002911FB" w:rsidRDefault="002911FB" w:rsidP="002911FB">
      <w:pPr>
        <w:rPr>
          <w:rFonts w:ascii="Times New Roman" w:hAnsi="Times New Roman" w:cs="Times New Roman"/>
          <w:sz w:val="24"/>
        </w:rPr>
      </w:pPr>
    </w:p>
    <w:p w:rsidR="002911FB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left="-142"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r>
        <w:rPr>
          <w:rFonts w:ascii="Arial" w:eastAsia="Times New Roman" w:hAnsi="Arial" w:cs="Arial"/>
          <w:b/>
          <w:sz w:val="24"/>
          <w:szCs w:val="20"/>
          <w:lang w:eastAsia="tr-TR"/>
        </w:rPr>
        <w:lastRenderedPageBreak/>
        <w:t>T.C.</w:t>
      </w:r>
    </w:p>
    <w:p w:rsidR="002911FB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left="-142"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r w:rsidRPr="001D2D18">
        <w:rPr>
          <w:rFonts w:ascii="Arial" w:eastAsia="Times New Roman" w:hAnsi="Arial" w:cs="Arial"/>
          <w:b/>
          <w:sz w:val="24"/>
          <w:szCs w:val="20"/>
          <w:lang w:eastAsia="tr-TR"/>
        </w:rPr>
        <w:t>BURDUR MEHMET AKİF ERSOY ÜNİVERSİTESİ</w:t>
      </w:r>
    </w:p>
    <w:p w:rsidR="002911FB" w:rsidRPr="001D2D18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left="-142"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r w:rsidRPr="001D2D18">
        <w:rPr>
          <w:rFonts w:ascii="Arial" w:eastAsia="Times New Roman" w:hAnsi="Arial" w:cs="Arial"/>
          <w:b/>
          <w:sz w:val="24"/>
          <w:szCs w:val="20"/>
          <w:lang w:eastAsia="tr-TR"/>
        </w:rPr>
        <w:t>BUCAK ZELİHA TOLUNAY UYGULAMALI TEKNOLOJİ VE İŞLETMECİLİK YÜKSEKOKULU YÖNETİM KURULU KARARLARI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60"/>
        <w:gridCol w:w="3340"/>
      </w:tblGrid>
      <w:tr w:rsidR="002911FB" w:rsidRPr="001D2D18" w:rsidTr="00A42C5E">
        <w:trPr>
          <w:cantSplit/>
          <w:trHeight w:val="211"/>
        </w:trPr>
        <w:tc>
          <w:tcPr>
            <w:tcW w:w="33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B" w:rsidRPr="001D2D18" w:rsidRDefault="002911FB" w:rsidP="00A42C5E">
            <w:pPr>
              <w:keepNext/>
              <w:tabs>
                <w:tab w:val="left" w:pos="555"/>
                <w:tab w:val="center" w:pos="1454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 w:rsidRPr="001D2D18"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Toplantı Tarihi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B" w:rsidRPr="001D2D18" w:rsidRDefault="002911FB" w:rsidP="00A42C5E">
            <w:pPr>
              <w:keepNext/>
              <w:tabs>
                <w:tab w:val="center" w:pos="156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 w:rsidRPr="001D2D18"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Toplantı Sayısı</w:t>
            </w:r>
          </w:p>
        </w:tc>
        <w:tc>
          <w:tcPr>
            <w:tcW w:w="3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11FB" w:rsidRPr="001D2D18" w:rsidRDefault="002911FB" w:rsidP="00A42C5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 w:rsidRPr="001D2D18"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Karar Sayısı</w:t>
            </w:r>
          </w:p>
        </w:tc>
      </w:tr>
      <w:tr w:rsidR="002911FB" w:rsidRPr="001D2D18" w:rsidTr="00A42C5E">
        <w:trPr>
          <w:cantSplit/>
          <w:trHeight w:val="272"/>
        </w:trPr>
        <w:tc>
          <w:tcPr>
            <w:tcW w:w="33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911FB" w:rsidRPr="001D2D18" w:rsidRDefault="002911FB" w:rsidP="00A4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24.03.2022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911FB" w:rsidRPr="003B4F45" w:rsidRDefault="002911FB" w:rsidP="00A42C5E">
            <w:pPr>
              <w:tabs>
                <w:tab w:val="left" w:pos="1485"/>
                <w:tab w:val="center" w:pos="15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F0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911FB" w:rsidRPr="001D2D18" w:rsidRDefault="002911FB" w:rsidP="00A4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2</w:t>
            </w:r>
          </w:p>
        </w:tc>
      </w:tr>
    </w:tbl>
    <w:p w:rsidR="002911FB" w:rsidRPr="00777B0E" w:rsidRDefault="002911FB" w:rsidP="002911FB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2911FB" w:rsidRPr="008A5FB6" w:rsidRDefault="002911FB" w:rsidP="0029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2-2021-2022</w:t>
      </w:r>
      <w:r w:rsidRPr="008A5FB6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>
        <w:rPr>
          <w:rFonts w:ascii="Times New Roman" w:hAnsi="Times New Roman" w:cs="Times New Roman"/>
          <w:b/>
          <w:sz w:val="24"/>
          <w:szCs w:val="24"/>
        </w:rPr>
        <w:t>Bahar</w:t>
      </w:r>
      <w:r w:rsidRPr="008A5FB6">
        <w:rPr>
          <w:rFonts w:ascii="Times New Roman" w:hAnsi="Times New Roman" w:cs="Times New Roman"/>
          <w:b/>
          <w:sz w:val="24"/>
          <w:szCs w:val="24"/>
        </w:rPr>
        <w:t xml:space="preserve"> Yarıyılında Yüksekokulumuz İkinci Öğretim Programlarında ders okutan öğretim elemanlarına ödenecek ek ders ücretlerinin görüşülmesi hk.</w:t>
      </w:r>
    </w:p>
    <w:p w:rsidR="002911FB" w:rsidRDefault="002911FB" w:rsidP="002911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02248A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>
        <w:rPr>
          <w:rFonts w:ascii="Times New Roman" w:hAnsi="Times New Roman" w:cs="Times New Roman"/>
          <w:sz w:val="24"/>
          <w:szCs w:val="24"/>
        </w:rPr>
        <w:t>Bahar</w:t>
      </w:r>
      <w:r w:rsidRPr="0002248A">
        <w:rPr>
          <w:rFonts w:ascii="Times New Roman" w:hAnsi="Times New Roman" w:cs="Times New Roman"/>
          <w:sz w:val="24"/>
          <w:szCs w:val="24"/>
        </w:rPr>
        <w:t xml:space="preserve"> Yarıyılında Yüksekokulumuz İkinci Öğretim Programlarında</w:t>
      </w:r>
      <w:r>
        <w:rPr>
          <w:rFonts w:ascii="Times New Roman" w:hAnsi="Times New Roman" w:cs="Times New Roman"/>
          <w:sz w:val="24"/>
          <w:szCs w:val="24"/>
        </w:rPr>
        <w:t xml:space="preserve"> okutulan İşletmede Mesleki Eğitim dersinin ek ders ücretinin </w:t>
      </w:r>
      <w:r w:rsidRPr="0002248A">
        <w:rPr>
          <w:rFonts w:ascii="Times New Roman" w:hAnsi="Times New Roman" w:cs="Times New Roman"/>
          <w:sz w:val="24"/>
          <w:szCs w:val="24"/>
        </w:rPr>
        <w:t xml:space="preserve"> Bucak Zeliha Tolunay Uygulamalı Teknoloji ve İşletmecilik Yüksekokulu </w:t>
      </w:r>
      <w:r>
        <w:rPr>
          <w:rFonts w:ascii="Times New Roman" w:hAnsi="Times New Roman" w:cs="Times New Roman"/>
          <w:sz w:val="24"/>
          <w:szCs w:val="24"/>
        </w:rPr>
        <w:t>İşletmede Mesleki</w:t>
      </w:r>
      <w:r w:rsidRPr="0002248A">
        <w:rPr>
          <w:rFonts w:ascii="Times New Roman" w:hAnsi="Times New Roman" w:cs="Times New Roman"/>
          <w:sz w:val="24"/>
          <w:szCs w:val="24"/>
        </w:rPr>
        <w:t xml:space="preserve"> Eğitim Yönergesinin 13. Maddesinin 2. Fıkrası  “</w:t>
      </w:r>
      <w:r>
        <w:rPr>
          <w:rFonts w:ascii="Times New Roman" w:hAnsi="Times New Roman" w:cs="Times New Roman"/>
          <w:sz w:val="24"/>
          <w:szCs w:val="24"/>
        </w:rPr>
        <w:t>İşletmede Mesleki Eğitim</w:t>
      </w:r>
      <w:r w:rsidRPr="0002248A">
        <w:rPr>
          <w:rFonts w:ascii="Times New Roman" w:hAnsi="Times New Roman" w:cs="Times New Roman"/>
          <w:sz w:val="24"/>
          <w:szCs w:val="24"/>
        </w:rPr>
        <w:t xml:space="preserve">, Burdur Mehmet Akif Ersoy Üniversitesi tarafından her yıl ilan edilen lisans eğitimi akademik takviminde yer alan eğitim ve öğretim başlangıç ve bitiş tarihleri süresince gerçekleştirilir. </w:t>
      </w:r>
      <w:r>
        <w:rPr>
          <w:rFonts w:ascii="Times New Roman" w:hAnsi="Times New Roman" w:cs="Times New Roman"/>
          <w:sz w:val="24"/>
          <w:szCs w:val="24"/>
        </w:rPr>
        <w:t>İşletmede mesleki  e</w:t>
      </w:r>
      <w:r w:rsidRPr="0002248A">
        <w:rPr>
          <w:rFonts w:ascii="Times New Roman" w:hAnsi="Times New Roman" w:cs="Times New Roman"/>
          <w:sz w:val="24"/>
          <w:szCs w:val="24"/>
        </w:rPr>
        <w:t>ğitim günde 8 saat ve hafta içi 5 iş günü olarak yapılır. Öğrencilerin bu sürelerin dışında yapacağı çalışmalar</w:t>
      </w:r>
      <w:r>
        <w:rPr>
          <w:rFonts w:ascii="Times New Roman" w:hAnsi="Times New Roman" w:cs="Times New Roman"/>
          <w:sz w:val="24"/>
          <w:szCs w:val="24"/>
        </w:rPr>
        <w:t>dan Yüksekokul sorumlu değildir.’’ gereğince</w:t>
      </w:r>
      <w:r w:rsidRPr="00022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işletmede mesleki eğitimin </w:t>
      </w:r>
      <w:r w:rsidRPr="0002248A">
        <w:rPr>
          <w:rFonts w:ascii="Times New Roman" w:hAnsi="Times New Roman" w:cs="Times New Roman"/>
          <w:sz w:val="24"/>
          <w:szCs w:val="24"/>
        </w:rPr>
        <w:t>mesai saatleri içerisinde saat 17:00’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02248A">
        <w:rPr>
          <w:rFonts w:ascii="Times New Roman" w:hAnsi="Times New Roman" w:cs="Times New Roman"/>
          <w:sz w:val="24"/>
          <w:szCs w:val="24"/>
        </w:rPr>
        <w:t>n önce yapılmasından</w:t>
      </w:r>
      <w:r>
        <w:rPr>
          <w:rFonts w:ascii="Times New Roman" w:hAnsi="Times New Roman" w:cs="Times New Roman"/>
          <w:sz w:val="24"/>
          <w:szCs w:val="24"/>
        </w:rPr>
        <w:t xml:space="preserve"> dolayı </w:t>
      </w:r>
      <w:r w:rsidRPr="00663EC7">
        <w:rPr>
          <w:rFonts w:ascii="Times New Roman" w:hAnsi="Times New Roman" w:cs="Times New Roman"/>
          <w:sz w:val="24"/>
          <w:szCs w:val="24"/>
        </w:rPr>
        <w:t>2914 sayılı Yükseköğretim Personel Kanununun 11 inci Maddesi gereğince</w:t>
      </w:r>
      <w:r>
        <w:rPr>
          <w:rFonts w:ascii="Times New Roman" w:hAnsi="Times New Roman" w:cs="Times New Roman"/>
          <w:sz w:val="24"/>
          <w:szCs w:val="24"/>
        </w:rPr>
        <w:t xml:space="preserve"> işletmede mesleki</w:t>
      </w:r>
      <w:r w:rsidRPr="00663EC7">
        <w:rPr>
          <w:rFonts w:ascii="Times New Roman" w:hAnsi="Times New Roman" w:cs="Times New Roman"/>
          <w:sz w:val="24"/>
          <w:szCs w:val="24"/>
        </w:rPr>
        <w:t xml:space="preserve"> </w:t>
      </w:r>
      <w:r w:rsidRPr="0002248A">
        <w:rPr>
          <w:rFonts w:ascii="Times New Roman" w:hAnsi="Times New Roman" w:cs="Times New Roman"/>
          <w:sz w:val="24"/>
          <w:szCs w:val="24"/>
        </w:rPr>
        <w:t xml:space="preserve"> eğitim ders</w:t>
      </w:r>
      <w:r>
        <w:rPr>
          <w:rFonts w:ascii="Times New Roman" w:hAnsi="Times New Roman" w:cs="Times New Roman"/>
          <w:sz w:val="24"/>
          <w:szCs w:val="24"/>
        </w:rPr>
        <w:t xml:space="preserve">lerini okutan öğretim elemanlarına ek ders ücretlerinin 2 kat olarak </w:t>
      </w:r>
      <w:r w:rsidRPr="00F12DBF">
        <w:rPr>
          <w:rFonts w:ascii="Times New Roman" w:hAnsi="Times New Roman" w:cs="Times New Roman"/>
          <w:sz w:val="24"/>
          <w:szCs w:val="24"/>
        </w:rPr>
        <w:t>ödenme</w:t>
      </w:r>
      <w:r>
        <w:rPr>
          <w:rFonts w:ascii="Times New Roman" w:hAnsi="Times New Roman" w:cs="Times New Roman"/>
          <w:sz w:val="24"/>
          <w:szCs w:val="24"/>
        </w:rPr>
        <w:t>sine karar verilmiştir.</w:t>
      </w:r>
    </w:p>
    <w:p w:rsidR="002911FB" w:rsidRDefault="002911FB" w:rsidP="002911FB">
      <w:pPr>
        <w:rPr>
          <w:rFonts w:ascii="Times New Roman" w:hAnsi="Times New Roman" w:cs="Times New Roman"/>
          <w:sz w:val="24"/>
        </w:rPr>
      </w:pPr>
    </w:p>
    <w:p w:rsidR="002911FB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r>
        <w:rPr>
          <w:rFonts w:ascii="Arial" w:eastAsia="Times New Roman" w:hAnsi="Arial" w:cs="Arial"/>
          <w:b/>
          <w:sz w:val="24"/>
          <w:szCs w:val="20"/>
          <w:lang w:eastAsia="tr-TR"/>
        </w:rPr>
        <w:t>T.C.</w:t>
      </w:r>
    </w:p>
    <w:p w:rsidR="002911FB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left="-142"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r>
        <w:rPr>
          <w:rFonts w:ascii="Arial" w:eastAsia="Times New Roman" w:hAnsi="Arial" w:cs="Arial"/>
          <w:b/>
          <w:sz w:val="24"/>
          <w:szCs w:val="20"/>
          <w:lang w:eastAsia="tr-TR"/>
        </w:rPr>
        <w:t>BURDUR MEHMET AKİF ERSOY ÜNİVERSİTESİ</w:t>
      </w:r>
    </w:p>
    <w:p w:rsidR="002911FB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left="-142"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r>
        <w:rPr>
          <w:rFonts w:ascii="Arial" w:eastAsia="Times New Roman" w:hAnsi="Arial" w:cs="Arial"/>
          <w:b/>
          <w:sz w:val="24"/>
          <w:szCs w:val="20"/>
          <w:lang w:eastAsia="tr-TR"/>
        </w:rPr>
        <w:t>BUCAK ZELİHA TOLUNAY UYGULAMALI TEKNOLOJİ VE İŞLETMECİLİK YÜKSEKOKULU YÖNETİM KURULU KARARLARI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3260"/>
        <w:gridCol w:w="3340"/>
      </w:tblGrid>
      <w:tr w:rsidR="002911FB" w:rsidTr="00A42C5E">
        <w:trPr>
          <w:cantSplit/>
          <w:trHeight w:val="211"/>
        </w:trPr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B" w:rsidRDefault="002911FB" w:rsidP="002911FB">
            <w:pPr>
              <w:keepNext/>
              <w:tabs>
                <w:tab w:val="left" w:pos="555"/>
                <w:tab w:val="center" w:pos="1454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Toplantı Tarihi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B" w:rsidRDefault="002911FB" w:rsidP="002911FB">
            <w:pPr>
              <w:keepNext/>
              <w:tabs>
                <w:tab w:val="center" w:pos="156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Toplantı Sayısı</w:t>
            </w:r>
          </w:p>
        </w:tc>
        <w:tc>
          <w:tcPr>
            <w:tcW w:w="3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11FB" w:rsidRDefault="002911FB" w:rsidP="002911F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Karar Sayısı</w:t>
            </w:r>
          </w:p>
        </w:tc>
      </w:tr>
      <w:tr w:rsidR="002911FB" w:rsidTr="00A42C5E">
        <w:trPr>
          <w:cantSplit/>
          <w:trHeight w:val="272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911FB" w:rsidRDefault="002911FB" w:rsidP="00291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24.06.2022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911FB" w:rsidRPr="001874D5" w:rsidRDefault="002911FB" w:rsidP="00291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911FB" w:rsidRDefault="002911FB" w:rsidP="00291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1</w:t>
            </w:r>
          </w:p>
        </w:tc>
      </w:tr>
    </w:tbl>
    <w:p w:rsidR="002911FB" w:rsidRDefault="002911FB" w:rsidP="002911FB">
      <w:pPr>
        <w:rPr>
          <w:rFonts w:ascii="Times New Roman" w:hAnsi="Times New Roman" w:cs="Times New Roman"/>
          <w:sz w:val="24"/>
        </w:rPr>
      </w:pPr>
    </w:p>
    <w:p w:rsidR="002911FB" w:rsidRPr="00655DF1" w:rsidRDefault="002911FB" w:rsidP="0029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F1">
        <w:rPr>
          <w:rFonts w:ascii="Times New Roman" w:hAnsi="Times New Roman" w:cs="Times New Roman"/>
          <w:b/>
          <w:sz w:val="24"/>
        </w:rPr>
        <w:t>1</w:t>
      </w:r>
      <w:r w:rsidRPr="00655DF1">
        <w:rPr>
          <w:rFonts w:ascii="Times New Roman" w:hAnsi="Times New Roman" w:cs="Times New Roman"/>
          <w:sz w:val="24"/>
        </w:rPr>
        <w:t>-</w:t>
      </w:r>
      <w:r w:rsidRPr="00655DF1">
        <w:rPr>
          <w:rFonts w:ascii="Times New Roman" w:hAnsi="Times New Roman" w:cs="Times New Roman"/>
          <w:b/>
          <w:sz w:val="24"/>
          <w:szCs w:val="24"/>
        </w:rPr>
        <w:t>Yüksekokulumuzun 2022-2023 Eğitim-Öğretim Yılı Kurum İçi Yatay Geçiş Kontenjanı sayılarının belirlenmesi hk.</w:t>
      </w:r>
    </w:p>
    <w:p w:rsidR="002911FB" w:rsidRPr="00655DF1" w:rsidRDefault="002911FB" w:rsidP="00291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DF1">
        <w:rPr>
          <w:rFonts w:ascii="Times New Roman" w:hAnsi="Times New Roman" w:cs="Times New Roman"/>
          <w:sz w:val="24"/>
          <w:szCs w:val="24"/>
        </w:rPr>
        <w:t>Burdur Mehmet Akif Ersoy Üniversitesi Önlis</w:t>
      </w:r>
      <w:r>
        <w:rPr>
          <w:rFonts w:ascii="Times New Roman" w:hAnsi="Times New Roman" w:cs="Times New Roman"/>
          <w:sz w:val="24"/>
          <w:szCs w:val="24"/>
        </w:rPr>
        <w:t>ans ve Lisans Düzeyinde Kurum</w:t>
      </w:r>
      <w:r w:rsidRPr="00655DF1">
        <w:rPr>
          <w:rFonts w:ascii="Times New Roman" w:hAnsi="Times New Roman" w:cs="Times New Roman"/>
          <w:sz w:val="24"/>
          <w:szCs w:val="24"/>
        </w:rPr>
        <w:t xml:space="preserve"> İçi Yatay Geçiş Yönergesi’nin 6. maddesi </w:t>
      </w:r>
      <w:r>
        <w:rPr>
          <w:rFonts w:ascii="Times New Roman" w:hAnsi="Times New Roman" w:cs="Times New Roman"/>
          <w:sz w:val="24"/>
          <w:szCs w:val="24"/>
        </w:rPr>
        <w:t xml:space="preserve">gereği Yüksekokulumuzca belirlenen </w:t>
      </w:r>
      <w:r w:rsidRPr="00655DF1">
        <w:rPr>
          <w:rFonts w:ascii="Times New Roman" w:hAnsi="Times New Roman" w:cs="Times New Roman"/>
          <w:sz w:val="24"/>
          <w:szCs w:val="24"/>
        </w:rPr>
        <w:t>2022-2023 Eğitim-Öğretim Yılı Güz Yarıyılında Kurum İçi Yatay Geçiş Kontenjanı sayılarının ekte belirtildiği şekilde uygunluğu</w:t>
      </w:r>
      <w:r>
        <w:rPr>
          <w:rFonts w:ascii="Times New Roman" w:hAnsi="Times New Roman" w:cs="Times New Roman"/>
          <w:sz w:val="24"/>
          <w:szCs w:val="24"/>
        </w:rPr>
        <w:t>na ve Rektörlük Makamına arzına karar verilmiştir.</w:t>
      </w:r>
    </w:p>
    <w:p w:rsidR="002911FB" w:rsidRDefault="002911FB" w:rsidP="002911FB"/>
    <w:p w:rsidR="002911FB" w:rsidRDefault="002911FB" w:rsidP="002911FB"/>
    <w:p w:rsidR="002911FB" w:rsidRDefault="002911FB" w:rsidP="002911FB"/>
    <w:p w:rsidR="002911FB" w:rsidRDefault="002911FB" w:rsidP="002911FB"/>
    <w:p w:rsidR="002911FB" w:rsidRDefault="002911FB" w:rsidP="002911FB">
      <w:pPr>
        <w:tabs>
          <w:tab w:val="left" w:pos="567"/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tr-TR"/>
        </w:rPr>
      </w:pPr>
      <w:r>
        <w:rPr>
          <w:rFonts w:ascii="Arial" w:eastAsia="Times New Roman" w:hAnsi="Arial" w:cs="Arial"/>
          <w:b/>
          <w:sz w:val="24"/>
          <w:szCs w:val="20"/>
          <w:lang w:eastAsia="tr-TR"/>
        </w:rPr>
        <w:lastRenderedPageBreak/>
        <w:t xml:space="preserve">                                                                  T.C.</w:t>
      </w:r>
    </w:p>
    <w:p w:rsidR="002911FB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left="-142"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r>
        <w:rPr>
          <w:rFonts w:ascii="Arial" w:eastAsia="Times New Roman" w:hAnsi="Arial" w:cs="Arial"/>
          <w:b/>
          <w:sz w:val="24"/>
          <w:szCs w:val="20"/>
          <w:lang w:eastAsia="tr-TR"/>
        </w:rPr>
        <w:t>BURDUR MEHMET AKİF ERSOY ÜNİVERSİTESİ</w:t>
      </w:r>
    </w:p>
    <w:p w:rsidR="002911FB" w:rsidRDefault="002911FB" w:rsidP="002911FB">
      <w:pPr>
        <w:keepNext/>
        <w:tabs>
          <w:tab w:val="left" w:pos="142"/>
          <w:tab w:val="left" w:pos="994"/>
          <w:tab w:val="left" w:pos="1134"/>
          <w:tab w:val="left" w:pos="3299"/>
          <w:tab w:val="left" w:pos="4253"/>
          <w:tab w:val="left" w:pos="7938"/>
        </w:tabs>
        <w:spacing w:after="0" w:line="240" w:lineRule="auto"/>
        <w:ind w:left="-142" w:right="-1"/>
        <w:jc w:val="center"/>
        <w:outlineLvl w:val="5"/>
        <w:rPr>
          <w:rFonts w:ascii="Arial" w:eastAsia="Times New Roman" w:hAnsi="Arial" w:cs="Arial"/>
          <w:b/>
          <w:sz w:val="24"/>
          <w:szCs w:val="20"/>
          <w:lang w:eastAsia="tr-TR"/>
        </w:rPr>
      </w:pPr>
      <w:r>
        <w:rPr>
          <w:rFonts w:ascii="Arial" w:eastAsia="Times New Roman" w:hAnsi="Arial" w:cs="Arial"/>
          <w:b/>
          <w:sz w:val="24"/>
          <w:szCs w:val="20"/>
          <w:lang w:eastAsia="tr-TR"/>
        </w:rPr>
        <w:t>BUCAK ZELİHA TOLUNAY UYGULAMALI TEKNOLOJİ VE İŞLETMECİLİK YÜKSEKOKULU YÖNETİM KURULU KARARLARI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3260"/>
        <w:gridCol w:w="3340"/>
      </w:tblGrid>
      <w:tr w:rsidR="002911FB" w:rsidTr="00A42C5E">
        <w:trPr>
          <w:cantSplit/>
          <w:trHeight w:val="211"/>
        </w:trPr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B" w:rsidRDefault="002911FB" w:rsidP="00A42C5E">
            <w:pPr>
              <w:keepNext/>
              <w:tabs>
                <w:tab w:val="left" w:pos="555"/>
                <w:tab w:val="center" w:pos="1454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Toplantı Tarihi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B" w:rsidRDefault="002911FB" w:rsidP="00A42C5E">
            <w:pPr>
              <w:keepNext/>
              <w:tabs>
                <w:tab w:val="center" w:pos="156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Toplantı Sayısı</w:t>
            </w:r>
          </w:p>
        </w:tc>
        <w:tc>
          <w:tcPr>
            <w:tcW w:w="3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11FB" w:rsidRDefault="002911FB" w:rsidP="00A42C5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Karar Sayısı</w:t>
            </w:r>
          </w:p>
        </w:tc>
      </w:tr>
      <w:tr w:rsidR="002911FB" w:rsidTr="00A42C5E">
        <w:trPr>
          <w:cantSplit/>
          <w:trHeight w:val="272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911FB" w:rsidRDefault="002911FB" w:rsidP="00A4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23.09.2022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911FB" w:rsidRDefault="002911FB" w:rsidP="00A4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58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911FB" w:rsidRDefault="002911FB" w:rsidP="00A4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tr-TR"/>
              </w:rPr>
              <w:t>2</w:t>
            </w:r>
          </w:p>
        </w:tc>
      </w:tr>
    </w:tbl>
    <w:p w:rsidR="002911FB" w:rsidRDefault="002911FB" w:rsidP="002911FB">
      <w:pPr>
        <w:spacing w:after="0"/>
        <w:jc w:val="both"/>
      </w:pPr>
    </w:p>
    <w:p w:rsidR="002911FB" w:rsidRDefault="002911FB" w:rsidP="0029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2-Gümrük İşletme Bölüm Başkanlığının 23.09.2022 tarih ve E.199782 sayılı yazısı gereğince 2022–2023 Eğitim-Öğretim Yılı Güz Yarıyılında Uluslararası Ticaret Bölümü 4.sınıf derslerini ilk kez alacak ve 4.sınıf derslerinden başarısız olan öğrenciler için eşdeğer derslerin görüşülmesi hk.</w:t>
      </w:r>
    </w:p>
    <w:p w:rsidR="002911FB" w:rsidRDefault="002911FB" w:rsidP="0029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11FB" w:rsidRDefault="002911FB" w:rsidP="002911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FDC">
        <w:rPr>
          <w:rFonts w:ascii="Times New Roman" w:hAnsi="Times New Roman" w:cs="Times New Roman"/>
          <w:sz w:val="24"/>
          <w:szCs w:val="24"/>
        </w:rPr>
        <w:t xml:space="preserve">Gümrük İşletme Bölüm Başkanlığının </w:t>
      </w:r>
      <w:r>
        <w:rPr>
          <w:rFonts w:ascii="Times New Roman" w:hAnsi="Times New Roman" w:cs="Times New Roman"/>
          <w:sz w:val="24"/>
          <w:szCs w:val="24"/>
        </w:rPr>
        <w:t>23.09.2022</w:t>
      </w:r>
      <w:r w:rsidRPr="00371FDC">
        <w:rPr>
          <w:rFonts w:ascii="Times New Roman" w:hAnsi="Times New Roman" w:cs="Times New Roman"/>
          <w:sz w:val="24"/>
          <w:szCs w:val="24"/>
        </w:rPr>
        <w:t xml:space="preserve"> tarih ve E.</w:t>
      </w:r>
      <w:r>
        <w:rPr>
          <w:rFonts w:ascii="Times New Roman" w:hAnsi="Times New Roman" w:cs="Times New Roman"/>
          <w:sz w:val="24"/>
          <w:szCs w:val="24"/>
        </w:rPr>
        <w:t>199782</w:t>
      </w:r>
      <w:r w:rsidRPr="00371FDC">
        <w:rPr>
          <w:rFonts w:ascii="Times New Roman" w:hAnsi="Times New Roman" w:cs="Times New Roman"/>
          <w:sz w:val="24"/>
          <w:szCs w:val="24"/>
        </w:rPr>
        <w:t xml:space="preserve"> sayılı yazısı gereğince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FDC">
        <w:rPr>
          <w:rFonts w:ascii="Times New Roman" w:hAnsi="Times New Roman" w:cs="Times New Roman"/>
          <w:sz w:val="24"/>
          <w:szCs w:val="24"/>
        </w:rPr>
        <w:t>–202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1FDC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>
        <w:rPr>
          <w:rFonts w:ascii="Times New Roman" w:hAnsi="Times New Roman" w:cs="Times New Roman"/>
          <w:sz w:val="24"/>
          <w:szCs w:val="24"/>
        </w:rPr>
        <w:t>Güz</w:t>
      </w:r>
      <w:r w:rsidRPr="00371FDC">
        <w:rPr>
          <w:rFonts w:ascii="Times New Roman" w:hAnsi="Times New Roman" w:cs="Times New Roman"/>
          <w:sz w:val="24"/>
          <w:szCs w:val="24"/>
        </w:rPr>
        <w:t xml:space="preserve"> Yarıyılında Uluslararası Ticaret Bölümü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1FDC">
        <w:rPr>
          <w:rFonts w:ascii="Times New Roman" w:hAnsi="Times New Roman" w:cs="Times New Roman"/>
          <w:sz w:val="24"/>
          <w:szCs w:val="24"/>
        </w:rPr>
        <w:t xml:space="preserve">.sınıf derslerini ilk kez alacak ve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1FDC">
        <w:rPr>
          <w:rFonts w:ascii="Times New Roman" w:hAnsi="Times New Roman" w:cs="Times New Roman"/>
          <w:sz w:val="24"/>
          <w:szCs w:val="24"/>
        </w:rPr>
        <w:t>.sınıf derslerinden başarısız olan öğrenciler için eş</w:t>
      </w:r>
      <w:r>
        <w:rPr>
          <w:rFonts w:ascii="Times New Roman" w:hAnsi="Times New Roman" w:cs="Times New Roman"/>
          <w:sz w:val="24"/>
          <w:szCs w:val="24"/>
        </w:rPr>
        <w:t xml:space="preserve">değer dersleri aşağıda belirtildiği </w:t>
      </w:r>
      <w:r w:rsidR="00492850">
        <w:rPr>
          <w:rFonts w:ascii="Times New Roman" w:hAnsi="Times New Roman" w:cs="Times New Roman"/>
          <w:sz w:val="24"/>
          <w:szCs w:val="24"/>
        </w:rPr>
        <w:t>şekilde almalarına karar verilmiştir.</w:t>
      </w:r>
    </w:p>
    <w:p w:rsidR="002911FB" w:rsidRDefault="002911FB" w:rsidP="002911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60" w:type="dxa"/>
        <w:tblLook w:val="04A0" w:firstRow="1" w:lastRow="0" w:firstColumn="1" w:lastColumn="0" w:noHBand="0" w:noVBand="1"/>
      </w:tblPr>
      <w:tblGrid>
        <w:gridCol w:w="896"/>
        <w:gridCol w:w="2206"/>
        <w:gridCol w:w="1180"/>
        <w:gridCol w:w="3047"/>
        <w:gridCol w:w="2431"/>
      </w:tblGrid>
      <w:tr w:rsidR="002911FB" w:rsidRPr="001549AA" w:rsidTr="00A42C5E">
        <w:tc>
          <w:tcPr>
            <w:tcW w:w="89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20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ers</w:t>
            </w:r>
          </w:p>
        </w:tc>
        <w:tc>
          <w:tcPr>
            <w:tcW w:w="1180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b/>
                <w:sz w:val="24"/>
                <w:szCs w:val="24"/>
              </w:rPr>
              <w:t>Eşdeğer Ders Kodu</w:t>
            </w:r>
          </w:p>
        </w:tc>
        <w:tc>
          <w:tcPr>
            <w:tcW w:w="3047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b/>
                <w:sz w:val="24"/>
                <w:szCs w:val="24"/>
              </w:rPr>
              <w:t>Eşdeğer Ders</w:t>
            </w:r>
          </w:p>
        </w:tc>
        <w:tc>
          <w:tcPr>
            <w:tcW w:w="2431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b/>
                <w:sz w:val="24"/>
                <w:szCs w:val="24"/>
              </w:rPr>
              <w:t>Alacağı Bölüm</w:t>
            </w:r>
          </w:p>
        </w:tc>
      </w:tr>
      <w:tr w:rsidR="002911FB" w:rsidRPr="001549AA" w:rsidTr="00A42C5E">
        <w:trPr>
          <w:trHeight w:val="966"/>
        </w:trPr>
        <w:tc>
          <w:tcPr>
            <w:tcW w:w="89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20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 xml:space="preserve">Uluslararası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Finans</w:t>
            </w:r>
          </w:p>
        </w:tc>
        <w:tc>
          <w:tcPr>
            <w:tcW w:w="1180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</w:tc>
        <w:tc>
          <w:tcPr>
            <w:tcW w:w="3047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 xml:space="preserve">Uluslararası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Finans</w:t>
            </w:r>
          </w:p>
        </w:tc>
        <w:tc>
          <w:tcPr>
            <w:tcW w:w="2431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Finans Yönetimi                  (4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. Sınıf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Güz Dönemi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1FB" w:rsidRPr="001549AA" w:rsidTr="00A42C5E">
        <w:tc>
          <w:tcPr>
            <w:tcW w:w="89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20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 xml:space="preserve">Dış Ticaret İşlemleri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Muhasebesi ve Finansmanı</w:t>
            </w:r>
          </w:p>
        </w:tc>
        <w:tc>
          <w:tcPr>
            <w:tcW w:w="1180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4417</w:t>
            </w:r>
          </w:p>
        </w:tc>
        <w:tc>
          <w:tcPr>
            <w:tcW w:w="3047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 xml:space="preserve">Dış Ticaret İşlemleri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Muhasebesi ve Finansmanı</w:t>
            </w:r>
          </w:p>
        </w:tc>
        <w:tc>
          <w:tcPr>
            <w:tcW w:w="2431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Açılacak</w:t>
            </w:r>
          </w:p>
        </w:tc>
      </w:tr>
      <w:tr w:rsidR="002911FB" w:rsidRPr="001549AA" w:rsidTr="00A42C5E">
        <w:tc>
          <w:tcPr>
            <w:tcW w:w="89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14407</w:t>
            </w:r>
          </w:p>
        </w:tc>
        <w:tc>
          <w:tcPr>
            <w:tcW w:w="220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 Hukuku</w:t>
            </w:r>
          </w:p>
        </w:tc>
        <w:tc>
          <w:tcPr>
            <w:tcW w:w="1180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047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   Hukuku</w:t>
            </w:r>
          </w:p>
        </w:tc>
        <w:tc>
          <w:tcPr>
            <w:tcW w:w="2431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Gümrük İşletme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. Sınıf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Güz Dönemi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1FB" w:rsidRPr="001549AA" w:rsidTr="00A42C5E">
        <w:tc>
          <w:tcPr>
            <w:tcW w:w="89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20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</w:p>
        </w:tc>
        <w:tc>
          <w:tcPr>
            <w:tcW w:w="1180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047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</w:p>
        </w:tc>
        <w:tc>
          <w:tcPr>
            <w:tcW w:w="2431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Ders Açılacak</w:t>
            </w:r>
          </w:p>
        </w:tc>
      </w:tr>
      <w:tr w:rsidR="002911FB" w:rsidRPr="001549AA" w:rsidTr="00A42C5E">
        <w:tc>
          <w:tcPr>
            <w:tcW w:w="89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20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Ticarette Vergilendirme</w:t>
            </w:r>
          </w:p>
        </w:tc>
        <w:tc>
          <w:tcPr>
            <w:tcW w:w="1180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9409</w:t>
            </w:r>
          </w:p>
        </w:tc>
        <w:tc>
          <w:tcPr>
            <w:tcW w:w="3047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Ticarette Vergilendirme ve Teşvikler</w:t>
            </w:r>
          </w:p>
        </w:tc>
        <w:tc>
          <w:tcPr>
            <w:tcW w:w="2431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Gümrük İşletme        (4. Sınıf Güz Dönemi)</w:t>
            </w:r>
          </w:p>
        </w:tc>
      </w:tr>
      <w:tr w:rsidR="002911FB" w:rsidRPr="001549AA" w:rsidTr="00A42C5E">
        <w:tc>
          <w:tcPr>
            <w:tcW w:w="89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6527</w:t>
            </w:r>
          </w:p>
        </w:tc>
        <w:tc>
          <w:tcPr>
            <w:tcW w:w="220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Ticari Yazışmalar</w:t>
            </w:r>
          </w:p>
        </w:tc>
        <w:tc>
          <w:tcPr>
            <w:tcW w:w="1180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047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Yabancı Dil V 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(İngilizce)</w:t>
            </w:r>
          </w:p>
        </w:tc>
        <w:tc>
          <w:tcPr>
            <w:tcW w:w="2431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Gümrük İşletme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. Sınıf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Güz Dönemi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1FB" w:rsidRPr="001549AA" w:rsidTr="00A42C5E">
        <w:tc>
          <w:tcPr>
            <w:tcW w:w="89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6421</w:t>
            </w:r>
          </w:p>
        </w:tc>
        <w:tc>
          <w:tcPr>
            <w:tcW w:w="2206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Gümrük İşlemleri</w:t>
            </w:r>
          </w:p>
        </w:tc>
        <w:tc>
          <w:tcPr>
            <w:tcW w:w="1180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47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Gümrük Mevzuatı I</w:t>
            </w:r>
          </w:p>
        </w:tc>
        <w:tc>
          <w:tcPr>
            <w:tcW w:w="2431" w:type="dxa"/>
            <w:vAlign w:val="center"/>
          </w:tcPr>
          <w:p w:rsidR="002911FB" w:rsidRPr="001549AA" w:rsidRDefault="002911FB" w:rsidP="00A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Gümrük İşletme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. Sınıf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Güz Dönemi</w:t>
            </w:r>
            <w:r w:rsidRPr="00154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911FB" w:rsidRDefault="002911FB" w:rsidP="002911FB">
      <w:pPr>
        <w:tabs>
          <w:tab w:val="left" w:pos="567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2911FB" w:rsidRDefault="002911FB" w:rsidP="002911FB"/>
    <w:p w:rsidR="002911FB" w:rsidRDefault="002911FB" w:rsidP="002911FB"/>
    <w:p w:rsidR="002911FB" w:rsidRDefault="002911FB" w:rsidP="002911FB"/>
    <w:p w:rsidR="002911FB" w:rsidRDefault="002911FB" w:rsidP="002911FB"/>
    <w:p w:rsidR="002911FB" w:rsidRDefault="002911FB" w:rsidP="002911FB"/>
    <w:p w:rsidR="002911FB" w:rsidRDefault="002911FB" w:rsidP="002911FB"/>
    <w:p w:rsidR="002911FB" w:rsidRDefault="002911FB" w:rsidP="002911FB"/>
    <w:p w:rsidR="002911FB" w:rsidRDefault="002911FB" w:rsidP="002911FB"/>
    <w:sectPr w:rsidR="0029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F4" w:rsidRDefault="00276EF4" w:rsidP="002911FB">
      <w:pPr>
        <w:spacing w:after="0" w:line="240" w:lineRule="auto"/>
      </w:pPr>
      <w:r>
        <w:separator/>
      </w:r>
    </w:p>
  </w:endnote>
  <w:endnote w:type="continuationSeparator" w:id="0">
    <w:p w:rsidR="00276EF4" w:rsidRDefault="00276EF4" w:rsidP="0029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F4" w:rsidRDefault="00276EF4" w:rsidP="002911FB">
      <w:pPr>
        <w:spacing w:after="0" w:line="240" w:lineRule="auto"/>
      </w:pPr>
      <w:r>
        <w:separator/>
      </w:r>
    </w:p>
  </w:footnote>
  <w:footnote w:type="continuationSeparator" w:id="0">
    <w:p w:rsidR="00276EF4" w:rsidRDefault="00276EF4" w:rsidP="0029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A4"/>
    <w:rsid w:val="00276EF4"/>
    <w:rsid w:val="002911FB"/>
    <w:rsid w:val="003F654D"/>
    <w:rsid w:val="00492850"/>
    <w:rsid w:val="00910877"/>
    <w:rsid w:val="00A2005C"/>
    <w:rsid w:val="00A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3913-247D-4693-BB01-0F002FDD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1FB"/>
  </w:style>
  <w:style w:type="paragraph" w:styleId="AltBilgi">
    <w:name w:val="footer"/>
    <w:basedOn w:val="Normal"/>
    <w:link w:val="AltBilgiChar"/>
    <w:uiPriority w:val="99"/>
    <w:unhideWhenUsed/>
    <w:rsid w:val="002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Güliz</dc:creator>
  <cp:keywords/>
  <dc:description/>
  <cp:lastModifiedBy>Eray</cp:lastModifiedBy>
  <cp:revision>2</cp:revision>
  <dcterms:created xsi:type="dcterms:W3CDTF">2022-09-30T08:15:00Z</dcterms:created>
  <dcterms:modified xsi:type="dcterms:W3CDTF">2022-09-30T08:15:00Z</dcterms:modified>
</cp:coreProperties>
</file>