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4974B7" w:rsidTr="00DD077F">
        <w:tc>
          <w:tcPr>
            <w:tcW w:w="9062" w:type="dxa"/>
          </w:tcPr>
          <w:p w:rsidR="004974B7" w:rsidRPr="00D8396F" w:rsidRDefault="004974B7" w:rsidP="00065CF4">
            <w:pPr>
              <w:jc w:val="center"/>
              <w:rPr>
                <w:b/>
              </w:rPr>
            </w:pPr>
            <w:r>
              <w:rPr>
                <w:b/>
              </w:rPr>
              <w:t>BAŞLIK</w:t>
            </w:r>
          </w:p>
        </w:tc>
      </w:tr>
      <w:tr w:rsidR="004974B7" w:rsidTr="00DD077F">
        <w:tc>
          <w:tcPr>
            <w:tcW w:w="9062" w:type="dxa"/>
          </w:tcPr>
          <w:p w:rsidR="004974B7" w:rsidRPr="003355F8" w:rsidRDefault="00A13745" w:rsidP="00A13745">
            <w:pPr>
              <w:jc w:val="center"/>
            </w:pPr>
            <w:r>
              <w:t>2024-2025 Eğitim-Öğretim Yılı Bahar Yarıyılı Akademik Kurul Toplantısı</w:t>
            </w:r>
          </w:p>
        </w:tc>
      </w:tr>
    </w:tbl>
    <w:p w:rsidR="004974B7" w:rsidRDefault="004974B7" w:rsidP="004974B7"/>
    <w:tbl>
      <w:tblPr>
        <w:tblStyle w:val="TabloKlavuzu"/>
        <w:tblW w:w="8646" w:type="dxa"/>
        <w:tblLook w:val="04A0" w:firstRow="1" w:lastRow="0" w:firstColumn="1" w:lastColumn="0" w:noHBand="0" w:noVBand="1"/>
      </w:tblPr>
      <w:tblGrid>
        <w:gridCol w:w="8646"/>
      </w:tblGrid>
      <w:tr w:rsidR="00A13745" w:rsidRPr="0045181E" w:rsidTr="00A13745">
        <w:tc>
          <w:tcPr>
            <w:tcW w:w="8646" w:type="dxa"/>
          </w:tcPr>
          <w:p w:rsidR="00A13745" w:rsidRDefault="00A13745" w:rsidP="00A13745">
            <w:pPr>
              <w:pStyle w:val="ListeParagraf"/>
              <w:numPr>
                <w:ilvl w:val="0"/>
                <w:numId w:val="2"/>
              </w:numPr>
              <w:jc w:val="both"/>
            </w:pPr>
            <w:r>
              <w:t xml:space="preserve">Yüksekokulumuza yatay geçiş başvuruları artık öğrenci bilgi sistemi üzerinden değerlendirilmektedir. </w:t>
            </w:r>
          </w:p>
          <w:p w:rsidR="00A13745" w:rsidRDefault="00A13745" w:rsidP="00A13745">
            <w:pPr>
              <w:pStyle w:val="ListeParagraf"/>
              <w:numPr>
                <w:ilvl w:val="0"/>
                <w:numId w:val="2"/>
              </w:numPr>
              <w:jc w:val="both"/>
            </w:pPr>
            <w:r>
              <w:t xml:space="preserve">Yüksekokul Kurul Kararları ve Yönetim Kurul Kararları artık EBYS üzerinden gönderilmekte ve elektronik imza ile imzalanmaktadır. Mümkün olduğunca aynı gün içinde imzalanması işleyişi kolaylaştıracaktır. </w:t>
            </w:r>
          </w:p>
          <w:p w:rsidR="00A13745" w:rsidRDefault="00A13745" w:rsidP="00A13745">
            <w:pPr>
              <w:pStyle w:val="ListeParagraf"/>
              <w:numPr>
                <w:ilvl w:val="0"/>
                <w:numId w:val="2"/>
              </w:numPr>
              <w:jc w:val="both"/>
            </w:pPr>
            <w:r>
              <w:t>İzin belgelerinde yapılan yeni düzenlemeyle paraf kısmına izni dolduranın parafının da açılması gerekmektedir. İzin bitiş tarihi de göreve başlama tarihi değil iznin son gününün yazılması gerekmektedir.</w:t>
            </w:r>
          </w:p>
          <w:p w:rsidR="00A13745" w:rsidRDefault="00A13745" w:rsidP="00A13745">
            <w:pPr>
              <w:pStyle w:val="ListeParagraf"/>
              <w:numPr>
                <w:ilvl w:val="0"/>
                <w:numId w:val="2"/>
              </w:numPr>
              <w:jc w:val="both"/>
            </w:pPr>
            <w:r>
              <w:t xml:space="preserve">Yurt dışı izinlerinde paraf kısmına kişinin kendisini ve bölüm başkanını, imzaya da yüksekokul müdürü ve Rektör Yardımcısı Hakan ÖNER hocayı seçmesi gerekmekte şablon olarak da iki imzalı şablon seçilmesi gerekmektedir. </w:t>
            </w:r>
          </w:p>
          <w:p w:rsidR="00A13745" w:rsidRDefault="00A13745" w:rsidP="00A13745">
            <w:pPr>
              <w:pStyle w:val="ListeParagraf"/>
              <w:numPr>
                <w:ilvl w:val="0"/>
                <w:numId w:val="2"/>
              </w:numPr>
              <w:jc w:val="both"/>
            </w:pPr>
            <w:r>
              <w:t>Mal bildirimi vermeyen personelimizin kapalı zarf içinde bildirimlerini 7 Şubat 2025 tarihine kadar vermeleri duyurulur.</w:t>
            </w:r>
          </w:p>
          <w:p w:rsidR="00A13745" w:rsidRDefault="00A13745" w:rsidP="00A13745">
            <w:pPr>
              <w:pStyle w:val="ListeParagraf"/>
              <w:numPr>
                <w:ilvl w:val="0"/>
                <w:numId w:val="2"/>
              </w:numPr>
              <w:jc w:val="both"/>
            </w:pPr>
            <w:r>
              <w:t xml:space="preserve">Dersliklerde bulunan klima ve </w:t>
            </w:r>
            <w:proofErr w:type="gramStart"/>
            <w:r>
              <w:t>projeksiyonlar</w:t>
            </w:r>
            <w:proofErr w:type="gramEnd"/>
            <w:r>
              <w:t xml:space="preserve"> ders çıkışlarında kapatılmalı, kumanda aletleri dersliklerde bırakılmalı, bilgisayar laboratuvarları ve dersliklerin kapı ve pencereleri kapatılmalıdır. Pencereler kapatılmadığında içeri yağmur girmektedir. Pencere perdelerinin tam yukarıya kaldırılmadan pençelerin açılması rüzgâr dolayısıyla perdeleri eskitmesine neden olmaktadır.</w:t>
            </w:r>
          </w:p>
          <w:p w:rsidR="00A13745" w:rsidRDefault="00A13745" w:rsidP="00A13745">
            <w:pPr>
              <w:pStyle w:val="ListeParagraf"/>
              <w:numPr>
                <w:ilvl w:val="0"/>
                <w:numId w:val="2"/>
              </w:numPr>
              <w:jc w:val="both"/>
            </w:pPr>
            <w:r>
              <w:t xml:space="preserve">Yüksekokulumuz mali işler birimine </w:t>
            </w:r>
            <w:proofErr w:type="spellStart"/>
            <w:r>
              <w:t>ekdersle</w:t>
            </w:r>
            <w:proofErr w:type="spellEnd"/>
            <w:r>
              <w:t xml:space="preserve"> ilgili formlar gerektiği tarihte teslim edilmemekte, fakat </w:t>
            </w:r>
            <w:proofErr w:type="spellStart"/>
            <w:r>
              <w:t>ekderslerin</w:t>
            </w:r>
            <w:proofErr w:type="spellEnd"/>
            <w:r>
              <w:t xml:space="preserve"> zamanında yatmadığı söylenmektedir.</w:t>
            </w:r>
          </w:p>
          <w:p w:rsidR="00A13745" w:rsidRDefault="00A13745" w:rsidP="00A13745">
            <w:pPr>
              <w:pStyle w:val="ListeParagraf"/>
              <w:numPr>
                <w:ilvl w:val="0"/>
                <w:numId w:val="2"/>
              </w:numPr>
              <w:jc w:val="both"/>
            </w:pPr>
            <w:r>
              <w:t>Sınav zarflarının akademik takvimde belirtildiği sürede Öğrenci İşleri Birimine tesliminin sağlanması gerekmektedir.</w:t>
            </w:r>
          </w:p>
          <w:p w:rsidR="00A13745" w:rsidRDefault="00A13745" w:rsidP="00A13745">
            <w:pPr>
              <w:pStyle w:val="ListeParagraf"/>
              <w:numPr>
                <w:ilvl w:val="0"/>
                <w:numId w:val="2"/>
              </w:numPr>
              <w:jc w:val="both"/>
            </w:pPr>
            <w:r>
              <w:t xml:space="preserve">Sınavların akademik takvimde belirtilen sürelerde ilan edilmesi gerekmektedir. Geciken not ilanları öğrencilerin </w:t>
            </w:r>
            <w:proofErr w:type="spellStart"/>
            <w:r>
              <w:t>tekders</w:t>
            </w:r>
            <w:proofErr w:type="spellEnd"/>
            <w:r>
              <w:t xml:space="preserve"> ve bütünleme sınavlarına girmesini engellemekte, final, bütünleme ve </w:t>
            </w:r>
            <w:proofErr w:type="spellStart"/>
            <w:r>
              <w:t>tekders</w:t>
            </w:r>
            <w:proofErr w:type="spellEnd"/>
            <w:r>
              <w:t xml:space="preserve"> programları hazırlanırken güçlük çekilmektedir.</w:t>
            </w:r>
          </w:p>
          <w:p w:rsidR="00A13745" w:rsidRDefault="00A13745" w:rsidP="00A13745">
            <w:pPr>
              <w:pStyle w:val="ListeParagraf"/>
              <w:numPr>
                <w:ilvl w:val="0"/>
                <w:numId w:val="2"/>
              </w:numPr>
              <w:jc w:val="both"/>
            </w:pPr>
            <w:r>
              <w:t xml:space="preserve">Yüksekokulumuz Bölüm Sekreterliğine özel kitap fotokopileri çektirilmekte, başka okulların sınav fotokopileri çektirilmekte, özel taramalar yaptırılmakta bu da </w:t>
            </w:r>
            <w:proofErr w:type="gramStart"/>
            <w:r>
              <w:t>kağıt</w:t>
            </w:r>
            <w:proofErr w:type="gramEnd"/>
            <w:r>
              <w:t xml:space="preserve"> ve zaman israfına yol açmaktadır. </w:t>
            </w:r>
          </w:p>
          <w:p w:rsidR="00A13745" w:rsidRDefault="00A13745" w:rsidP="00A13745">
            <w:pPr>
              <w:pStyle w:val="ListeParagraf"/>
              <w:numPr>
                <w:ilvl w:val="0"/>
                <w:numId w:val="2"/>
              </w:numPr>
              <w:jc w:val="both"/>
            </w:pPr>
            <w:r>
              <w:t xml:space="preserve">Ders Telafileri, Ders programları ve sınıf değişikliklerinde bölüm sekreterliğine dilekçe verilmeli, bölüm başkanlığından onay alınmalıdır. </w:t>
            </w:r>
          </w:p>
          <w:p w:rsidR="00A13745" w:rsidRDefault="00A13745" w:rsidP="00A13745">
            <w:pPr>
              <w:pStyle w:val="ListeParagraf"/>
              <w:numPr>
                <w:ilvl w:val="0"/>
                <w:numId w:val="2"/>
              </w:numPr>
              <w:jc w:val="both"/>
            </w:pPr>
            <w:r>
              <w:t>Konferans salonunda ders işlenmekte, öğrenciler ellerinde çay vb. içecek derslere girmektedirler. Bu da konferans salonunun zemini halı olduğu için çıkarılamayan lekelere ve kokuya sebep olmaktadır.</w:t>
            </w:r>
          </w:p>
          <w:p w:rsidR="00A13745" w:rsidRDefault="00A13745" w:rsidP="00A13745">
            <w:pPr>
              <w:pStyle w:val="ListeParagraf"/>
              <w:numPr>
                <w:ilvl w:val="0"/>
                <w:numId w:val="2"/>
              </w:numPr>
              <w:jc w:val="both"/>
            </w:pPr>
            <w:r>
              <w:t>Uyuşturucu kullandığı düşünülen ve buna dair belirtileri gösteren öğrencilere dikkat edilmesi ve bu öğrencilerle ilgilenilmesi gerekmektedir.</w:t>
            </w:r>
          </w:p>
          <w:p w:rsidR="00A13745" w:rsidRDefault="00A13745" w:rsidP="00A13745">
            <w:pPr>
              <w:pStyle w:val="ListeParagraf"/>
              <w:numPr>
                <w:ilvl w:val="0"/>
                <w:numId w:val="2"/>
              </w:numPr>
              <w:jc w:val="both"/>
            </w:pPr>
            <w:r>
              <w:t xml:space="preserve">Facebook, </w:t>
            </w:r>
            <w:proofErr w:type="spellStart"/>
            <w:r>
              <w:t>twitter</w:t>
            </w:r>
            <w:proofErr w:type="spellEnd"/>
            <w:r>
              <w:t xml:space="preserve"> vb. sosyal medya hesaplarından duyuru paylaşılması ile ilgili Arş. Gör. Asıl GÖDE görevlendirilmiş olup, duyuruların onla paylaşılması gerekmektedir. </w:t>
            </w:r>
          </w:p>
          <w:p w:rsidR="00A13745" w:rsidRPr="0045181E" w:rsidRDefault="00A13745" w:rsidP="00A13745">
            <w:pPr>
              <w:pStyle w:val="ListeParagraf"/>
              <w:numPr>
                <w:ilvl w:val="0"/>
                <w:numId w:val="2"/>
              </w:numPr>
              <w:jc w:val="both"/>
            </w:pPr>
            <w:r>
              <w:t xml:space="preserve">Personel kimlik kartına yemek yüklemelerini daha önceden yapmaması yada yetersiz bakiye olması öğretim elemanlarımızın para yüklemek için Sağlık </w:t>
            </w:r>
            <w:proofErr w:type="gramStart"/>
            <w:r>
              <w:t>Yüksekokuluna  gitmesini</w:t>
            </w:r>
            <w:proofErr w:type="gramEnd"/>
            <w:r>
              <w:t xml:space="preserve"> gerektirmektedir.</w:t>
            </w:r>
          </w:p>
        </w:tc>
      </w:tr>
    </w:tbl>
    <w:p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rsidTr="00A13745">
        <w:trPr>
          <w:trHeight w:val="418"/>
        </w:trPr>
        <w:tc>
          <w:tcPr>
            <w:tcW w:w="9062" w:type="dxa"/>
            <w:vAlign w:val="center"/>
          </w:tcPr>
          <w:p w:rsidR="004974B7" w:rsidRPr="0045181E" w:rsidRDefault="004974B7" w:rsidP="00065CF4">
            <w:pPr>
              <w:jc w:val="center"/>
              <w:rPr>
                <w:b/>
                <w:color w:val="000000" w:themeColor="text1"/>
              </w:rPr>
            </w:pPr>
            <w:r w:rsidRPr="0045181E">
              <w:rPr>
                <w:b/>
                <w:color w:val="000000" w:themeColor="text1"/>
              </w:rPr>
              <w:t>TOPLANTI FOTOĞRAFLARI</w:t>
            </w:r>
          </w:p>
        </w:tc>
      </w:tr>
      <w:tr w:rsidR="004974B7" w:rsidTr="00FB5EA4">
        <w:trPr>
          <w:trHeight w:val="11432"/>
        </w:trPr>
        <w:tc>
          <w:tcPr>
            <w:tcW w:w="9062" w:type="dxa"/>
          </w:tcPr>
          <w:p w:rsidR="004974B7" w:rsidRDefault="004974B7" w:rsidP="00065CF4">
            <w:pPr>
              <w:rPr>
                <w:noProof/>
              </w:rPr>
            </w:pPr>
          </w:p>
          <w:p w:rsidR="004974B7" w:rsidRDefault="00A13745" w:rsidP="00065CF4">
            <w:pPr>
              <w:rPr>
                <w:noProof/>
              </w:rPr>
            </w:pPr>
            <w:r>
              <w:rPr>
                <w:noProof/>
              </w:rPr>
              <w:drawing>
                <wp:inline distT="0" distB="0" distL="0" distR="0">
                  <wp:extent cx="5760720" cy="3009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2025 Bahar Akademik Kurul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009900"/>
                          </a:xfrm>
                          <a:prstGeom prst="rect">
                            <a:avLst/>
                          </a:prstGeom>
                        </pic:spPr>
                      </pic:pic>
                    </a:graphicData>
                  </a:graphic>
                </wp:inline>
              </w:drawing>
            </w:r>
          </w:p>
          <w:p w:rsidR="004974B7" w:rsidRDefault="00A13745" w:rsidP="00065CF4">
            <w:pPr>
              <w:rPr>
                <w:b/>
                <w:color w:val="000000" w:themeColor="text1"/>
              </w:rPr>
            </w:pPr>
            <w:r>
              <w:rPr>
                <w:b/>
                <w:noProof/>
                <w:color w:val="000000" w:themeColor="text1"/>
              </w:rPr>
              <w:drawing>
                <wp:inline distT="0" distB="0" distL="0" distR="0">
                  <wp:extent cx="5760720" cy="40957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4-2025 Bahar Akademik Kurul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095750"/>
                          </a:xfrm>
                          <a:prstGeom prst="rect">
                            <a:avLst/>
                          </a:prstGeom>
                        </pic:spPr>
                      </pic:pic>
                    </a:graphicData>
                  </a:graphic>
                </wp:inline>
              </w:drawing>
            </w:r>
          </w:p>
          <w:p w:rsidR="004974B7" w:rsidRDefault="004974B7" w:rsidP="00065CF4">
            <w:pPr>
              <w:rPr>
                <w:b/>
                <w:color w:val="000000" w:themeColor="text1"/>
              </w:rPr>
            </w:pPr>
          </w:p>
          <w:p w:rsidR="004974B7" w:rsidRDefault="004974B7" w:rsidP="00065CF4">
            <w:pPr>
              <w:rPr>
                <w:b/>
                <w:color w:val="000000" w:themeColor="text1"/>
              </w:rPr>
            </w:pPr>
          </w:p>
        </w:tc>
      </w:tr>
    </w:tbl>
    <w:p w:rsidR="000A321F" w:rsidRPr="008F6696" w:rsidRDefault="008F6696" w:rsidP="008F6696">
      <w:pPr>
        <w:tabs>
          <w:tab w:val="left" w:pos="930"/>
        </w:tabs>
      </w:pPr>
      <w:bookmarkStart w:id="0" w:name="_GoBack"/>
      <w:bookmarkEnd w:id="0"/>
      <w:r>
        <w:tab/>
      </w:r>
    </w:p>
    <w:sectPr w:rsidR="000A321F" w:rsidRPr="008F6696" w:rsidSect="00A13745">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E6" w:rsidRDefault="00F455E6" w:rsidP="004974B7">
      <w:r>
        <w:separator/>
      </w:r>
    </w:p>
  </w:endnote>
  <w:endnote w:type="continuationSeparator" w:id="0">
    <w:p w:rsidR="00F455E6" w:rsidRDefault="00F455E6"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rsidR="00AE4702" w:rsidRDefault="00AE4702">
        <w:pPr>
          <w:pStyle w:val="AltBilgi"/>
          <w:jc w:val="center"/>
        </w:pPr>
        <w:r>
          <w:fldChar w:fldCharType="begin"/>
        </w:r>
        <w:r>
          <w:instrText>PAGE   \* MERGEFORMAT</w:instrText>
        </w:r>
        <w:r>
          <w:fldChar w:fldCharType="separate"/>
        </w:r>
        <w:r w:rsidR="00FB5EA4">
          <w:rPr>
            <w:noProof/>
          </w:rPr>
          <w:t>2</w:t>
        </w:r>
        <w:r>
          <w:fldChar w:fldCharType="end"/>
        </w:r>
      </w:p>
    </w:sdtContent>
  </w:sdt>
  <w:p w:rsidR="00AE4702" w:rsidRDefault="00AE470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E6" w:rsidRDefault="00F455E6" w:rsidP="004974B7">
      <w:r>
        <w:separator/>
      </w:r>
    </w:p>
  </w:footnote>
  <w:footnote w:type="continuationSeparator" w:id="0">
    <w:p w:rsidR="00F455E6" w:rsidRDefault="00F455E6" w:rsidP="00497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956"/>
      <w:gridCol w:w="3519"/>
      <w:gridCol w:w="1963"/>
      <w:gridCol w:w="1624"/>
    </w:tblGrid>
    <w:tr w:rsidR="005642FB" w:rsidTr="00F30B17">
      <w:tc>
        <w:tcPr>
          <w:tcW w:w="1413" w:type="dxa"/>
          <w:vMerge w:val="restart"/>
          <w:vAlign w:val="center"/>
        </w:tcPr>
        <w:p w:rsidR="005642FB" w:rsidRDefault="00A360C4" w:rsidP="00DD077F">
          <w:pPr>
            <w:pStyle w:val="stBilgi"/>
            <w:jc w:val="center"/>
          </w:pPr>
          <w:r>
            <w:rPr>
              <w:noProof/>
            </w:rPr>
            <w:drawing>
              <wp:inline distT="0" distB="0" distL="0" distR="0" wp14:anchorId="7D3690D9" wp14:editId="315FCB4B">
                <wp:extent cx="1095853" cy="438150"/>
                <wp:effectExtent l="0" t="0" r="9525" b="0"/>
                <wp:docPr id="4" name="Resim 4"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27" w:type="dxa"/>
          <w:vMerge w:val="restart"/>
          <w:vAlign w:val="center"/>
        </w:tcPr>
        <w:p w:rsidR="005642FB" w:rsidRPr="004272E5" w:rsidRDefault="00CA5966" w:rsidP="00DD077F">
          <w:pPr>
            <w:pStyle w:val="stBilgi"/>
            <w:jc w:val="center"/>
            <w:rPr>
              <w:b/>
              <w:sz w:val="22"/>
            </w:rPr>
          </w:pPr>
          <w:r>
            <w:rPr>
              <w:b/>
              <w:sz w:val="22"/>
            </w:rPr>
            <w:t>BURDUR MEHMET AKİF ERSOY</w:t>
          </w:r>
          <w:r w:rsidR="005642FB" w:rsidRPr="004272E5">
            <w:rPr>
              <w:b/>
              <w:sz w:val="22"/>
            </w:rPr>
            <w:t xml:space="preserve"> ÜNİVERSİTESİ </w:t>
          </w:r>
        </w:p>
        <w:p w:rsidR="005642FB" w:rsidRPr="004272E5" w:rsidRDefault="00A13745" w:rsidP="00A13745">
          <w:pPr>
            <w:pStyle w:val="stBilgi"/>
            <w:jc w:val="center"/>
            <w:rPr>
              <w:b/>
              <w:sz w:val="22"/>
            </w:rPr>
          </w:pPr>
          <w:r>
            <w:rPr>
              <w:b/>
              <w:sz w:val="22"/>
            </w:rPr>
            <w:t>BUCAK ZELİHA TOLUNAY UTİ</w:t>
          </w:r>
          <w:r w:rsidR="005642FB" w:rsidRPr="004272E5">
            <w:rPr>
              <w:b/>
              <w:sz w:val="22"/>
            </w:rPr>
            <w:t>YO TOPLANTI TUTANAĞI</w:t>
          </w:r>
        </w:p>
      </w:tc>
      <w:tc>
        <w:tcPr>
          <w:tcW w:w="2126" w:type="dxa"/>
          <w:vAlign w:val="center"/>
        </w:tcPr>
        <w:p w:rsidR="005642FB" w:rsidRPr="004272E5" w:rsidRDefault="005642FB" w:rsidP="00DD077F">
          <w:pPr>
            <w:pStyle w:val="stBilgi"/>
            <w:jc w:val="center"/>
            <w:rPr>
              <w:sz w:val="22"/>
            </w:rPr>
          </w:pPr>
          <w:r w:rsidRPr="004272E5">
            <w:rPr>
              <w:sz w:val="22"/>
            </w:rPr>
            <w:t>Toplantı No</w:t>
          </w:r>
        </w:p>
      </w:tc>
      <w:tc>
        <w:tcPr>
          <w:tcW w:w="1696" w:type="dxa"/>
          <w:vAlign w:val="center"/>
        </w:tcPr>
        <w:p w:rsidR="005642FB" w:rsidRPr="004272E5" w:rsidRDefault="00A13745" w:rsidP="00DD077F">
          <w:pPr>
            <w:pStyle w:val="stBilgi"/>
            <w:jc w:val="center"/>
            <w:rPr>
              <w:sz w:val="22"/>
            </w:rPr>
          </w:pPr>
          <w:r>
            <w:rPr>
              <w:sz w:val="22"/>
            </w:rPr>
            <w:t>1</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Tarihi</w:t>
          </w:r>
        </w:p>
      </w:tc>
      <w:tc>
        <w:tcPr>
          <w:tcW w:w="1696" w:type="dxa"/>
          <w:vAlign w:val="center"/>
        </w:tcPr>
        <w:p w:rsidR="005642FB" w:rsidRPr="004272E5" w:rsidRDefault="00A13745" w:rsidP="00DD077F">
          <w:pPr>
            <w:pStyle w:val="stBilgi"/>
            <w:jc w:val="center"/>
            <w:rPr>
              <w:sz w:val="22"/>
            </w:rPr>
          </w:pPr>
          <w:r>
            <w:rPr>
              <w:sz w:val="22"/>
            </w:rPr>
            <w:t>05/02/2025</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Yeri</w:t>
          </w:r>
        </w:p>
      </w:tc>
      <w:tc>
        <w:tcPr>
          <w:tcW w:w="1696" w:type="dxa"/>
          <w:vAlign w:val="center"/>
        </w:tcPr>
        <w:p w:rsidR="005642FB" w:rsidRPr="004272E5" w:rsidRDefault="00A13745" w:rsidP="00DD077F">
          <w:pPr>
            <w:pStyle w:val="stBilgi"/>
            <w:jc w:val="center"/>
            <w:rPr>
              <w:sz w:val="22"/>
            </w:rPr>
          </w:pPr>
          <w:r>
            <w:rPr>
              <w:sz w:val="22"/>
            </w:rPr>
            <w:t>Konferans Salonu</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Pr>
              <w:sz w:val="22"/>
            </w:rPr>
            <w:t>Katılımcı Sayısı</w:t>
          </w:r>
        </w:p>
      </w:tc>
      <w:tc>
        <w:tcPr>
          <w:tcW w:w="1696" w:type="dxa"/>
          <w:vAlign w:val="center"/>
        </w:tcPr>
        <w:p w:rsidR="005642FB" w:rsidRPr="004272E5" w:rsidRDefault="00A13745" w:rsidP="00DD077F">
          <w:pPr>
            <w:pStyle w:val="stBilgi"/>
            <w:jc w:val="center"/>
            <w:rPr>
              <w:sz w:val="22"/>
            </w:rPr>
          </w:pPr>
          <w:r>
            <w:rPr>
              <w:sz w:val="22"/>
            </w:rPr>
            <w:t>27</w:t>
          </w:r>
        </w:p>
      </w:tc>
    </w:tr>
  </w:tbl>
  <w:p w:rsidR="004974B7" w:rsidRDefault="004974B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30A8A"/>
    <w:multiLevelType w:val="hybridMultilevel"/>
    <w:tmpl w:val="061C9E72"/>
    <w:lvl w:ilvl="0" w:tplc="22A46132">
      <w:start w:val="1"/>
      <w:numFmt w:val="decimal"/>
      <w:lvlText w:val="%1."/>
      <w:lvlJc w:val="left"/>
      <w:pPr>
        <w:ind w:left="720" w:hanging="360"/>
      </w:pPr>
      <w:rPr>
        <w:b/>
        <w:color w:val="FF0000"/>
        <w:sz w:val="28"/>
        <w:szCs w:val="28"/>
      </w:rPr>
    </w:lvl>
    <w:lvl w:ilvl="1" w:tplc="BC408696">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67951"/>
    <w:rsid w:val="000A321F"/>
    <w:rsid w:val="0019063C"/>
    <w:rsid w:val="001C6EB5"/>
    <w:rsid w:val="00307678"/>
    <w:rsid w:val="004272E5"/>
    <w:rsid w:val="004974B7"/>
    <w:rsid w:val="004F2642"/>
    <w:rsid w:val="005642FB"/>
    <w:rsid w:val="007C2FD6"/>
    <w:rsid w:val="00824104"/>
    <w:rsid w:val="008F6696"/>
    <w:rsid w:val="00973DFA"/>
    <w:rsid w:val="009E5010"/>
    <w:rsid w:val="009E610C"/>
    <w:rsid w:val="00A13745"/>
    <w:rsid w:val="00A360C4"/>
    <w:rsid w:val="00AE4702"/>
    <w:rsid w:val="00AF5E44"/>
    <w:rsid w:val="00B9278E"/>
    <w:rsid w:val="00CA5966"/>
    <w:rsid w:val="00D47018"/>
    <w:rsid w:val="00DD077F"/>
    <w:rsid w:val="00E77F56"/>
    <w:rsid w:val="00F30B17"/>
    <w:rsid w:val="00F455E6"/>
    <w:rsid w:val="00FB5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13745"/>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Eray</cp:lastModifiedBy>
  <cp:revision>3</cp:revision>
  <dcterms:created xsi:type="dcterms:W3CDTF">2025-02-06T06:23:00Z</dcterms:created>
  <dcterms:modified xsi:type="dcterms:W3CDTF">2025-02-06T07:38:00Z</dcterms:modified>
</cp:coreProperties>
</file>